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D95A" w14:textId="77777777" w:rsidR="00B5400B" w:rsidRPr="00B5400B" w:rsidRDefault="00B5400B" w:rsidP="00B5400B">
      <w:pPr>
        <w:shd w:val="clear" w:color="auto" w:fill="FFFFFF"/>
        <w:spacing w:after="360" w:line="240" w:lineRule="auto"/>
        <w:rPr>
          <w:rFonts w:ascii="Open Sans" w:eastAsia="Times New Roman" w:hAnsi="Open Sans" w:cs="Open Sans"/>
          <w:color w:val="8A8A8A"/>
          <w:sz w:val="21"/>
          <w:szCs w:val="21"/>
          <w:lang w:eastAsia="fr-FR"/>
        </w:rPr>
      </w:pPr>
      <w:r w:rsidRPr="00B5400B">
        <w:rPr>
          <w:rFonts w:ascii="Open Sans" w:eastAsia="Times New Roman" w:hAnsi="Open Sans" w:cs="Open Sans"/>
          <w:color w:val="8A8A8A"/>
          <w:sz w:val="21"/>
          <w:szCs w:val="21"/>
          <w:lang w:eastAsia="fr-FR"/>
        </w:rPr>
        <w:t>De nombreux textes régissent les interventions en hygiène immobilière. Nous distinguerons dans cette page les textes fondateurs des obligations d’entretien des bâtiments, des textes régissant les prestations, notamment d’un point de vue financier.</w:t>
      </w:r>
    </w:p>
    <w:p w14:paraId="389E3713" w14:textId="77777777" w:rsidR="00B5400B" w:rsidRPr="00B5400B" w:rsidRDefault="00B5400B" w:rsidP="00B5400B">
      <w:pPr>
        <w:numPr>
          <w:ilvl w:val="0"/>
          <w:numId w:val="1"/>
        </w:numPr>
        <w:shd w:val="clear" w:color="auto" w:fill="FFFFFF"/>
        <w:spacing w:before="100" w:beforeAutospacing="1" w:after="120" w:line="240" w:lineRule="auto"/>
        <w:rPr>
          <w:rFonts w:ascii="inherit" w:eastAsia="Times New Roman" w:hAnsi="inherit" w:cs="Open Sans"/>
          <w:color w:val="8A8A8A"/>
          <w:sz w:val="21"/>
          <w:szCs w:val="21"/>
          <w:lang w:eastAsia="fr-FR"/>
        </w:rPr>
      </w:pPr>
      <w:r w:rsidRPr="00B5400B">
        <w:rPr>
          <w:rFonts w:ascii="inherit" w:eastAsia="Times New Roman" w:hAnsi="inherit" w:cs="Open Sans"/>
          <w:color w:val="8A8A8A"/>
          <w:sz w:val="21"/>
          <w:szCs w:val="21"/>
          <w:lang w:eastAsia="fr-FR"/>
        </w:rPr>
        <w:t> Textes fondateurs de l’hygiène immobilière dans le bâtiment</w:t>
      </w:r>
    </w:p>
    <w:p w14:paraId="28B3A487" w14:textId="77777777" w:rsidR="00B5400B" w:rsidRPr="00B5400B" w:rsidRDefault="00B5400B" w:rsidP="00B5400B">
      <w:pPr>
        <w:numPr>
          <w:ilvl w:val="1"/>
          <w:numId w:val="1"/>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5" w:history="1">
        <w:r w:rsidRPr="00B5400B">
          <w:rPr>
            <w:rFonts w:ascii="inherit" w:eastAsia="Times New Roman" w:hAnsi="inherit" w:cs="Open Sans"/>
            <w:color w:val="17C8F4"/>
            <w:sz w:val="21"/>
            <w:szCs w:val="21"/>
            <w:u w:val="single"/>
            <w:bdr w:val="none" w:sz="0" w:space="0" w:color="auto" w:frame="1"/>
            <w:lang w:eastAsia="fr-FR"/>
          </w:rPr>
          <w:t>Règlement Sanitaire Départemental</w:t>
        </w:r>
      </w:hyperlink>
      <w:r w:rsidRPr="00B5400B">
        <w:rPr>
          <w:rFonts w:ascii="inherit" w:eastAsia="Times New Roman" w:hAnsi="inherit" w:cs="Open Sans"/>
          <w:color w:val="8A8A8A"/>
          <w:sz w:val="21"/>
          <w:szCs w:val="21"/>
          <w:lang w:eastAsia="fr-FR"/>
        </w:rPr>
        <w:t> (RSD) – notamment les articles 23.1, 79 et 130.5</w:t>
      </w:r>
    </w:p>
    <w:p w14:paraId="0EBB939B" w14:textId="77777777" w:rsidR="00B5400B" w:rsidRPr="00B5400B" w:rsidRDefault="00B5400B" w:rsidP="00B5400B">
      <w:pPr>
        <w:numPr>
          <w:ilvl w:val="1"/>
          <w:numId w:val="1"/>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6" w:history="1">
        <w:r w:rsidRPr="00B5400B">
          <w:rPr>
            <w:rFonts w:ascii="inherit" w:eastAsia="Times New Roman" w:hAnsi="inherit" w:cs="Open Sans"/>
            <w:color w:val="17C8F4"/>
            <w:sz w:val="21"/>
            <w:szCs w:val="21"/>
            <w:u w:val="single"/>
            <w:bdr w:val="none" w:sz="0" w:space="0" w:color="auto" w:frame="1"/>
            <w:lang w:eastAsia="fr-FR"/>
          </w:rPr>
          <w:t>Loi Solidarité et Renouvellement Urbain du 13 décembre 2000</w:t>
        </w:r>
      </w:hyperlink>
    </w:p>
    <w:p w14:paraId="4D1A5C80" w14:textId="77777777" w:rsidR="00B5400B" w:rsidRPr="00B5400B" w:rsidRDefault="00B5400B" w:rsidP="00B5400B">
      <w:pPr>
        <w:numPr>
          <w:ilvl w:val="1"/>
          <w:numId w:val="1"/>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7" w:history="1">
        <w:r w:rsidRPr="00B5400B">
          <w:rPr>
            <w:rFonts w:ascii="inherit" w:eastAsia="Times New Roman" w:hAnsi="inherit" w:cs="Open Sans"/>
            <w:color w:val="17C8F4"/>
            <w:sz w:val="21"/>
            <w:szCs w:val="21"/>
            <w:u w:val="single"/>
            <w:bdr w:val="none" w:sz="0" w:space="0" w:color="auto" w:frame="1"/>
            <w:lang w:eastAsia="fr-FR"/>
          </w:rPr>
          <w:t xml:space="preserve">Dossier de </w:t>
        </w:r>
        <w:proofErr w:type="spellStart"/>
        <w:r w:rsidRPr="00B5400B">
          <w:rPr>
            <w:rFonts w:ascii="inherit" w:eastAsia="Times New Roman" w:hAnsi="inherit" w:cs="Open Sans"/>
            <w:color w:val="17C8F4"/>
            <w:sz w:val="21"/>
            <w:szCs w:val="21"/>
            <w:u w:val="single"/>
            <w:bdr w:val="none" w:sz="0" w:space="0" w:color="auto" w:frame="1"/>
            <w:lang w:eastAsia="fr-FR"/>
          </w:rPr>
          <w:t>Diagnastic</w:t>
        </w:r>
        <w:proofErr w:type="spellEnd"/>
        <w:r w:rsidRPr="00B5400B">
          <w:rPr>
            <w:rFonts w:ascii="inherit" w:eastAsia="Times New Roman" w:hAnsi="inherit" w:cs="Open Sans"/>
            <w:color w:val="17C8F4"/>
            <w:sz w:val="21"/>
            <w:szCs w:val="21"/>
            <w:u w:val="single"/>
            <w:bdr w:val="none" w:sz="0" w:space="0" w:color="auto" w:frame="1"/>
            <w:lang w:eastAsia="fr-FR"/>
          </w:rPr>
          <w:t xml:space="preserve"> Immobilier à fournir à la signature de l’acte de vente</w:t>
        </w:r>
      </w:hyperlink>
    </w:p>
    <w:p w14:paraId="075B8760" w14:textId="77777777" w:rsidR="00B5400B" w:rsidRPr="00B5400B" w:rsidRDefault="00B5400B" w:rsidP="00B5400B">
      <w:pPr>
        <w:numPr>
          <w:ilvl w:val="0"/>
          <w:numId w:val="2"/>
        </w:numPr>
        <w:shd w:val="clear" w:color="auto" w:fill="FFFFFF"/>
        <w:spacing w:before="100" w:beforeAutospacing="1" w:after="120" w:line="240" w:lineRule="auto"/>
        <w:rPr>
          <w:rFonts w:ascii="inherit" w:eastAsia="Times New Roman" w:hAnsi="inherit" w:cs="Open Sans"/>
          <w:color w:val="8A8A8A"/>
          <w:sz w:val="21"/>
          <w:szCs w:val="21"/>
          <w:lang w:eastAsia="fr-FR"/>
        </w:rPr>
      </w:pPr>
      <w:r w:rsidRPr="00B5400B">
        <w:rPr>
          <w:rFonts w:ascii="inherit" w:eastAsia="Times New Roman" w:hAnsi="inherit" w:cs="Open Sans"/>
          <w:color w:val="8A8A8A"/>
          <w:sz w:val="21"/>
          <w:szCs w:val="21"/>
          <w:lang w:eastAsia="fr-FR"/>
        </w:rPr>
        <w:t> Textes régissant les prestations</w:t>
      </w:r>
    </w:p>
    <w:p w14:paraId="5D651E6D" w14:textId="77777777" w:rsidR="00B5400B" w:rsidRPr="00B5400B" w:rsidRDefault="00B5400B" w:rsidP="00B5400B">
      <w:pPr>
        <w:numPr>
          <w:ilvl w:val="1"/>
          <w:numId w:val="2"/>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8" w:history="1">
        <w:r w:rsidRPr="00B5400B">
          <w:rPr>
            <w:rFonts w:ascii="inherit" w:eastAsia="Times New Roman" w:hAnsi="inherit" w:cs="Open Sans"/>
            <w:color w:val="17C8F4"/>
            <w:sz w:val="21"/>
            <w:szCs w:val="21"/>
            <w:u w:val="single"/>
            <w:bdr w:val="none" w:sz="0" w:space="0" w:color="auto" w:frame="1"/>
            <w:lang w:eastAsia="fr-FR"/>
          </w:rPr>
          <w:t>Taux de TVA applicables</w:t>
        </w:r>
      </w:hyperlink>
    </w:p>
    <w:p w14:paraId="0B4D306A" w14:textId="77777777" w:rsidR="00B5400B" w:rsidRPr="00B5400B" w:rsidRDefault="00B5400B" w:rsidP="00B5400B">
      <w:pPr>
        <w:numPr>
          <w:ilvl w:val="1"/>
          <w:numId w:val="2"/>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9" w:history="1">
        <w:r w:rsidRPr="00B5400B">
          <w:rPr>
            <w:rFonts w:ascii="inherit" w:eastAsia="Times New Roman" w:hAnsi="inherit" w:cs="Open Sans"/>
            <w:color w:val="17C8F4"/>
            <w:sz w:val="21"/>
            <w:szCs w:val="21"/>
            <w:u w:val="single"/>
            <w:bdr w:val="none" w:sz="0" w:space="0" w:color="auto" w:frame="1"/>
            <w:lang w:eastAsia="fr-FR"/>
          </w:rPr>
          <w:t>Récupérabilité des charges</w:t>
        </w:r>
      </w:hyperlink>
    </w:p>
    <w:p w14:paraId="2B470CCE" w14:textId="77777777" w:rsidR="00B5400B" w:rsidRPr="00B5400B" w:rsidRDefault="00B5400B" w:rsidP="00B5400B">
      <w:pPr>
        <w:numPr>
          <w:ilvl w:val="0"/>
          <w:numId w:val="3"/>
        </w:numPr>
        <w:shd w:val="clear" w:color="auto" w:fill="FFFFFF"/>
        <w:spacing w:before="100" w:beforeAutospacing="1" w:after="120" w:line="240" w:lineRule="auto"/>
        <w:rPr>
          <w:rFonts w:ascii="inherit" w:eastAsia="Times New Roman" w:hAnsi="inherit" w:cs="Open Sans"/>
          <w:color w:val="8A8A8A"/>
          <w:sz w:val="21"/>
          <w:szCs w:val="21"/>
          <w:lang w:eastAsia="fr-FR"/>
        </w:rPr>
      </w:pPr>
      <w:r w:rsidRPr="00B5400B">
        <w:rPr>
          <w:rFonts w:ascii="inherit" w:eastAsia="Times New Roman" w:hAnsi="inherit" w:cs="Open Sans"/>
          <w:color w:val="8A8A8A"/>
          <w:sz w:val="21"/>
          <w:szCs w:val="21"/>
          <w:lang w:eastAsia="fr-FR"/>
        </w:rPr>
        <w:t>Certificat individuel obligatoire pour les utilisateurs professionnels et les distributeurs de certains produits biocides</w:t>
      </w:r>
    </w:p>
    <w:p w14:paraId="5FC2FA73" w14:textId="77777777" w:rsidR="00B5400B" w:rsidRPr="00B5400B" w:rsidRDefault="00B5400B" w:rsidP="00B5400B">
      <w:pPr>
        <w:numPr>
          <w:ilvl w:val="1"/>
          <w:numId w:val="3"/>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10" w:history="1">
        <w:r w:rsidRPr="00B5400B">
          <w:rPr>
            <w:rFonts w:ascii="inherit" w:eastAsia="Times New Roman" w:hAnsi="inherit" w:cs="Open Sans"/>
            <w:color w:val="17C8F4"/>
            <w:sz w:val="21"/>
            <w:szCs w:val="21"/>
            <w:u w:val="single"/>
            <w:bdr w:val="none" w:sz="0" w:space="0" w:color="auto" w:frame="1"/>
            <w:lang w:eastAsia="fr-FR"/>
          </w:rPr>
          <w:t>Arrêté du 9 octobre 2013 relatif aux conditions d’exercice de l’activité d’utilisateur professionnel et de distributeur de certains types de produits biocides</w:t>
        </w:r>
      </w:hyperlink>
    </w:p>
    <w:p w14:paraId="560EEFC8" w14:textId="77777777" w:rsidR="00B5400B" w:rsidRPr="00B5400B" w:rsidRDefault="00B5400B" w:rsidP="00B5400B">
      <w:pPr>
        <w:numPr>
          <w:ilvl w:val="0"/>
          <w:numId w:val="4"/>
        </w:numPr>
        <w:shd w:val="clear" w:color="auto" w:fill="FFFFFF"/>
        <w:spacing w:before="100" w:beforeAutospacing="1" w:after="120" w:line="240" w:lineRule="auto"/>
        <w:rPr>
          <w:rFonts w:ascii="inherit" w:eastAsia="Times New Roman" w:hAnsi="inherit" w:cs="Open Sans"/>
          <w:color w:val="8A8A8A"/>
          <w:sz w:val="21"/>
          <w:szCs w:val="21"/>
          <w:lang w:eastAsia="fr-FR"/>
        </w:rPr>
      </w:pPr>
      <w:r w:rsidRPr="00B5400B">
        <w:rPr>
          <w:rFonts w:ascii="inherit" w:eastAsia="Times New Roman" w:hAnsi="inherit" w:cs="Open Sans"/>
          <w:color w:val="8A8A8A"/>
          <w:sz w:val="21"/>
          <w:szCs w:val="21"/>
          <w:lang w:eastAsia="fr-FR"/>
        </w:rPr>
        <w:t>Textes applicables aux travaux en hauteur</w:t>
      </w:r>
    </w:p>
    <w:p w14:paraId="1611BBFA" w14:textId="77777777" w:rsidR="00B5400B" w:rsidRPr="00B5400B" w:rsidRDefault="00B5400B" w:rsidP="00B5400B">
      <w:pPr>
        <w:numPr>
          <w:ilvl w:val="1"/>
          <w:numId w:val="4"/>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11" w:history="1">
        <w:r w:rsidRPr="00B5400B">
          <w:rPr>
            <w:rFonts w:ascii="inherit" w:eastAsia="Times New Roman" w:hAnsi="inherit" w:cs="Open Sans"/>
            <w:color w:val="17C8F4"/>
            <w:sz w:val="21"/>
            <w:szCs w:val="21"/>
            <w:u w:val="single"/>
            <w:bdr w:val="none" w:sz="0" w:space="0" w:color="auto" w:frame="1"/>
            <w:lang w:eastAsia="fr-FR"/>
          </w:rPr>
          <w:t>Cadre réglementaire dressé par l’INRS</w:t>
        </w:r>
      </w:hyperlink>
    </w:p>
    <w:p w14:paraId="41652403" w14:textId="77777777" w:rsidR="00B5400B" w:rsidRPr="00B5400B" w:rsidRDefault="00B5400B" w:rsidP="00B5400B">
      <w:pPr>
        <w:numPr>
          <w:ilvl w:val="0"/>
          <w:numId w:val="4"/>
        </w:numPr>
        <w:shd w:val="clear" w:color="auto" w:fill="FFFFFF"/>
        <w:spacing w:before="100" w:beforeAutospacing="1" w:after="120" w:line="240" w:lineRule="auto"/>
        <w:rPr>
          <w:rFonts w:ascii="inherit" w:eastAsia="Times New Roman" w:hAnsi="inherit" w:cs="Open Sans"/>
          <w:color w:val="8A8A8A"/>
          <w:sz w:val="21"/>
          <w:szCs w:val="21"/>
          <w:lang w:eastAsia="fr-FR"/>
        </w:rPr>
      </w:pPr>
      <w:r w:rsidRPr="00B5400B">
        <w:rPr>
          <w:rFonts w:ascii="inherit" w:eastAsia="Times New Roman" w:hAnsi="inherit" w:cs="Open Sans"/>
          <w:color w:val="8A8A8A"/>
          <w:sz w:val="21"/>
          <w:szCs w:val="21"/>
          <w:lang w:eastAsia="fr-FR"/>
        </w:rPr>
        <w:t>Travaux en espaces confinés</w:t>
      </w:r>
    </w:p>
    <w:p w14:paraId="602357C9" w14:textId="77777777" w:rsidR="00B5400B" w:rsidRPr="00B5400B" w:rsidRDefault="00B5400B" w:rsidP="00B5400B">
      <w:pPr>
        <w:numPr>
          <w:ilvl w:val="1"/>
          <w:numId w:val="4"/>
        </w:numPr>
        <w:shd w:val="clear" w:color="auto" w:fill="FFFFFF"/>
        <w:spacing w:before="100" w:beforeAutospacing="1" w:after="120" w:line="240" w:lineRule="auto"/>
        <w:rPr>
          <w:rFonts w:ascii="inherit" w:eastAsia="Times New Roman" w:hAnsi="inherit" w:cs="Open Sans"/>
          <w:color w:val="8A8A8A"/>
          <w:sz w:val="21"/>
          <w:szCs w:val="21"/>
          <w:lang w:eastAsia="fr-FR"/>
        </w:rPr>
      </w:pPr>
      <w:hyperlink r:id="rId12" w:history="1">
        <w:r w:rsidRPr="00B5400B">
          <w:rPr>
            <w:rFonts w:ascii="inherit" w:eastAsia="Times New Roman" w:hAnsi="inherit" w:cs="Open Sans"/>
            <w:color w:val="17C8F4"/>
            <w:sz w:val="21"/>
            <w:szCs w:val="21"/>
            <w:u w:val="single"/>
            <w:bdr w:val="none" w:sz="0" w:space="0" w:color="auto" w:frame="1"/>
            <w:lang w:eastAsia="fr-FR"/>
          </w:rPr>
          <w:t>Recommandation R447 de la CNAMTS</w:t>
        </w:r>
      </w:hyperlink>
    </w:p>
    <w:p w14:paraId="445992AA" w14:textId="77777777" w:rsidR="003B5285" w:rsidRDefault="003B5285"/>
    <w:sectPr w:rsidR="003B5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2ECF"/>
    <w:multiLevelType w:val="multilevel"/>
    <w:tmpl w:val="D8F6E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8D2772"/>
    <w:multiLevelType w:val="multilevel"/>
    <w:tmpl w:val="DE92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7670E"/>
    <w:multiLevelType w:val="multilevel"/>
    <w:tmpl w:val="BA063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E4143"/>
    <w:multiLevelType w:val="multilevel"/>
    <w:tmpl w:val="BE0EC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829166">
    <w:abstractNumId w:val="2"/>
  </w:num>
  <w:num w:numId="2" w16cid:durableId="1415779663">
    <w:abstractNumId w:val="3"/>
  </w:num>
  <w:num w:numId="3" w16cid:durableId="676538826">
    <w:abstractNumId w:val="0"/>
  </w:num>
  <w:num w:numId="4" w16cid:durableId="2001151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0B"/>
    <w:rsid w:val="003B5285"/>
    <w:rsid w:val="00B54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61DC"/>
  <w15:chartTrackingRefBased/>
  <w15:docId w15:val="{B23B8AE9-3883-4775-9202-DC4D0EBE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40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4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cpsy.fr/dotdoc/tva5sept9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public.fr/particuliers/recherche?keyword=dossier+de+diagnostic+technique+immobilier" TargetMode="External"/><Relationship Id="rId12" Type="http://schemas.openxmlformats.org/officeDocument/2006/relationships/hyperlink" Target="https://www.ameli.fr/paris/employeur/tableau_recommand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do?cidTexte=LEGITEXT000005630252" TargetMode="External"/><Relationship Id="rId11" Type="http://schemas.openxmlformats.org/officeDocument/2006/relationships/hyperlink" Target="http://www.inrs.fr/risques/chutes-hauteur/reglementation-travail-hauteur.html" TargetMode="External"/><Relationship Id="rId5" Type="http://schemas.openxmlformats.org/officeDocument/2006/relationships/hyperlink" Target="https://www.pedagogie.ac-aix-marseille.fr/upload/docs/application/pdf/2011-07/reglsanideptype.pdf" TargetMode="External"/><Relationship Id="rId10" Type="http://schemas.openxmlformats.org/officeDocument/2006/relationships/hyperlink" Target="https://www.legifrance.gouv.fr/jo_pdf.do?id=JORFTEXT000028214219" TargetMode="External"/><Relationship Id="rId4" Type="http://schemas.openxmlformats.org/officeDocument/2006/relationships/webSettings" Target="webSettings.xml"/><Relationship Id="rId9" Type="http://schemas.openxmlformats.org/officeDocument/2006/relationships/hyperlink" Target="https://www.legifrance.gouv.fr/affichTexte.do?cidTexte=LEGITEXT00000606614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cboulanger</dc:creator>
  <cp:keywords/>
  <dc:description/>
  <cp:lastModifiedBy>cboulanger</cp:lastModifiedBy>
  <cp:revision>1</cp:revision>
  <dcterms:created xsi:type="dcterms:W3CDTF">2022-10-26T14:24:00Z</dcterms:created>
  <dcterms:modified xsi:type="dcterms:W3CDTF">2022-10-26T14:25:00Z</dcterms:modified>
</cp:coreProperties>
</file>