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0022" w14:textId="77777777" w:rsidR="003922D5" w:rsidRPr="003922D5" w:rsidRDefault="003922D5" w:rsidP="003922D5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3922D5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La FNSA met à disposition des entreprises adhérentes deux outils élaborés à partir des données ainsi que des connaissances de terrain des différents collaborateurs de nos entreprises de la branche assainissement et maintenance industrielle.</w:t>
      </w:r>
    </w:p>
    <w:p w14:paraId="03BADE57" w14:textId="77777777" w:rsidR="003922D5" w:rsidRPr="003922D5" w:rsidRDefault="003922D5" w:rsidP="003922D5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3922D5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Ce travail très complet est représentatif de nos métiers et de ses spécificités.</w:t>
      </w:r>
    </w:p>
    <w:p w14:paraId="32F055BF" w14:textId="77777777" w:rsidR="003922D5" w:rsidRPr="003922D5" w:rsidRDefault="003922D5" w:rsidP="003922D5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3922D5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Vous trouverez en cliquant sur les liens ci-dessous :</w:t>
      </w:r>
    </w:p>
    <w:p w14:paraId="49164552" w14:textId="77777777" w:rsidR="003922D5" w:rsidRPr="003922D5" w:rsidRDefault="003922D5" w:rsidP="003922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proofErr w:type="gramStart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la</w:t>
      </w:r>
      <w:proofErr w:type="gramEnd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 xml:space="preserve"> circulaire d’information sur le référentiel pénibilité</w:t>
      </w:r>
    </w:p>
    <w:p w14:paraId="766E38D2" w14:textId="77777777" w:rsidR="003922D5" w:rsidRPr="003922D5" w:rsidRDefault="003922D5" w:rsidP="003922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proofErr w:type="gramStart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le</w:t>
      </w:r>
      <w:proofErr w:type="gramEnd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 xml:space="preserve"> mode d’emploi appelé aussi « référentiel de branche »</w:t>
      </w:r>
    </w:p>
    <w:p w14:paraId="7D86CEEA" w14:textId="77777777" w:rsidR="003922D5" w:rsidRPr="003922D5" w:rsidRDefault="003922D5" w:rsidP="003922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proofErr w:type="gramStart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le</w:t>
      </w:r>
      <w:proofErr w:type="gramEnd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 xml:space="preserve"> « </w:t>
      </w:r>
      <w:proofErr w:type="spellStart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vademecum</w:t>
      </w:r>
      <w:proofErr w:type="spellEnd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 »</w:t>
      </w:r>
    </w:p>
    <w:p w14:paraId="37BCE650" w14:textId="77777777" w:rsidR="003922D5" w:rsidRPr="003922D5" w:rsidRDefault="003922D5" w:rsidP="003922D5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3922D5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En cliquant sur les liens ci-dessous, vous trouverez :</w:t>
      </w:r>
    </w:p>
    <w:p w14:paraId="64DC55EA" w14:textId="77777777" w:rsidR="003922D5" w:rsidRPr="003922D5" w:rsidRDefault="003922D5" w:rsidP="003922D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proofErr w:type="gramStart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la</w:t>
      </w:r>
      <w:proofErr w:type="gramEnd"/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 xml:space="preserve"> circulaire d’information juridique de la FNSA relative à la suite du référentiel pénibilité avec les annexes concernant le secteur des 3D (désinsectisation, dératisation, désinfection).</w:t>
      </w:r>
    </w:p>
    <w:p w14:paraId="73D8DD74" w14:textId="77777777" w:rsidR="003922D5" w:rsidRPr="003922D5" w:rsidRDefault="003922D5" w:rsidP="003922D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 Le référentiel métier 3D</w:t>
      </w:r>
    </w:p>
    <w:p w14:paraId="61B4971C" w14:textId="77777777" w:rsidR="003922D5" w:rsidRPr="003922D5" w:rsidRDefault="003922D5" w:rsidP="003922D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r w:rsidRPr="003922D5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La présentation du référentiel de la branche 3D</w:t>
      </w:r>
    </w:p>
    <w:p w14:paraId="681603A2" w14:textId="77777777" w:rsidR="003922D5" w:rsidRPr="003922D5" w:rsidRDefault="003922D5" w:rsidP="003922D5">
      <w:pPr>
        <w:shd w:val="clear" w:color="auto" w:fill="FFFFFF"/>
        <w:spacing w:before="160" w:after="0" w:line="308" w:lineRule="atLeast"/>
        <w:outlineLvl w:val="2"/>
        <w:rPr>
          <w:rFonts w:ascii="Asap" w:eastAsia="Times New Roman" w:hAnsi="Asap" w:cs="Open Sans"/>
          <w:b/>
          <w:bCs/>
          <w:color w:val="232A34"/>
          <w:sz w:val="42"/>
          <w:szCs w:val="42"/>
          <w:lang w:eastAsia="fr-FR"/>
        </w:rPr>
      </w:pPr>
      <w:r w:rsidRPr="003922D5">
        <w:rPr>
          <w:rFonts w:ascii="Asap" w:eastAsia="Times New Roman" w:hAnsi="Asap" w:cs="Open Sans"/>
          <w:b/>
          <w:bCs/>
          <w:color w:val="232A34"/>
          <w:sz w:val="42"/>
          <w:szCs w:val="42"/>
          <w:lang w:eastAsia="fr-FR"/>
        </w:rPr>
        <w:t>Documents</w:t>
      </w:r>
    </w:p>
    <w:tbl>
      <w:tblPr>
        <w:tblW w:w="17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0"/>
      </w:tblGrid>
      <w:tr w:rsidR="003922D5" w:rsidRPr="003922D5" w14:paraId="31E32777" w14:textId="77777777" w:rsidTr="003922D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63E5C" w14:textId="77777777" w:rsidR="003922D5" w:rsidRPr="003922D5" w:rsidRDefault="003922D5" w:rsidP="003922D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fr-FR"/>
              </w:rPr>
            </w:pPr>
            <w:r w:rsidRPr="003922D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fr-FR"/>
              </w:rPr>
              <w:t>Fichier</w:t>
            </w:r>
          </w:p>
        </w:tc>
      </w:tr>
      <w:tr w:rsidR="003922D5" w:rsidRPr="003922D5" w14:paraId="78097C1A" w14:textId="77777777" w:rsidTr="003922D5">
        <w:tc>
          <w:tcPr>
            <w:tcW w:w="0" w:type="auto"/>
            <w:tcBorders>
              <w:top w:val="single" w:sz="6" w:space="0" w:color="DDDDDD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DC41D" w14:textId="13BE8B6A" w:rsidR="003922D5" w:rsidRPr="003922D5" w:rsidRDefault="003922D5" w:rsidP="003922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 w:rsidRPr="003922D5">
              <w:rPr>
                <w:rFonts w:ascii="inherit" w:eastAsia="Times New Roman" w:hAnsi="inherit" w:cs="Times New Roman"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13FB693F" wp14:editId="482A2447">
                  <wp:extent cx="152400" cy="152400"/>
                  <wp:effectExtent l="0" t="0" r="0" b="0"/>
                  <wp:docPr id="6" name="Image 6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2D5"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 </w:t>
            </w:r>
            <w:hyperlink r:id="rId6" w:tooltip="circulaire-fnsa-mode-d-emploi-referentiel-penibilite-ami" w:history="1">
              <w:proofErr w:type="gram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circulaire</w:t>
              </w:r>
              <w:proofErr w:type="gram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</w:t>
              </w:r>
              <w:proofErr w:type="spell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fnsa</w:t>
              </w:r>
              <w:proofErr w:type="spell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-mode-d-emploi-</w:t>
              </w:r>
              <w:proofErr w:type="spell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referentiel</w:t>
              </w:r>
              <w:proofErr w:type="spell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</w:t>
              </w:r>
              <w:proofErr w:type="spell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penibilite</w:t>
              </w:r>
              <w:proofErr w:type="spell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-ami</w:t>
              </w:r>
            </w:hyperlink>
          </w:p>
        </w:tc>
      </w:tr>
      <w:tr w:rsidR="003922D5" w:rsidRPr="003922D5" w14:paraId="3331A27D" w14:textId="77777777" w:rsidTr="003922D5">
        <w:tc>
          <w:tcPr>
            <w:tcW w:w="0" w:type="auto"/>
            <w:tcBorders>
              <w:top w:val="single" w:sz="6" w:space="0" w:color="DDDDDD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ADD1F" w14:textId="75476D91" w:rsidR="003922D5" w:rsidRPr="003922D5" w:rsidRDefault="003922D5" w:rsidP="003922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 w:rsidRPr="003922D5">
              <w:rPr>
                <w:rFonts w:ascii="inherit" w:eastAsia="Times New Roman" w:hAnsi="inherit" w:cs="Times New Roman"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2F015713" wp14:editId="24C35959">
                  <wp:extent cx="152400" cy="152400"/>
                  <wp:effectExtent l="0" t="0" r="0" b="0"/>
                  <wp:docPr id="5" name="Image 5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2D5"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 </w:t>
            </w:r>
            <w:hyperlink r:id="rId7" w:tooltip="circulaire-fnsa-referentiel-mode-d-emploi-penibilite-suite" w:history="1">
              <w:proofErr w:type="gram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circulaire</w:t>
              </w:r>
              <w:proofErr w:type="gram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</w:t>
              </w:r>
              <w:proofErr w:type="spell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fnsa</w:t>
              </w:r>
              <w:proofErr w:type="spell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</w:t>
              </w:r>
              <w:proofErr w:type="spell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referentiel</w:t>
              </w:r>
              <w:proofErr w:type="spell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-mode-d-emploi-</w:t>
              </w:r>
              <w:proofErr w:type="spell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penibilite</w:t>
              </w:r>
              <w:proofErr w:type="spell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-suite</w:t>
              </w:r>
            </w:hyperlink>
          </w:p>
        </w:tc>
      </w:tr>
      <w:tr w:rsidR="003922D5" w:rsidRPr="003922D5" w14:paraId="57F8362D" w14:textId="77777777" w:rsidTr="003922D5">
        <w:tc>
          <w:tcPr>
            <w:tcW w:w="0" w:type="auto"/>
            <w:tcBorders>
              <w:top w:val="single" w:sz="6" w:space="0" w:color="DDDDDD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3600B" w14:textId="284FB829" w:rsidR="003922D5" w:rsidRPr="003922D5" w:rsidRDefault="003922D5" w:rsidP="003922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 w:rsidRPr="003922D5">
              <w:rPr>
                <w:rFonts w:ascii="inherit" w:eastAsia="Times New Roman" w:hAnsi="inherit" w:cs="Times New Roman"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61764ECA" wp14:editId="5BF6DB81">
                  <wp:extent cx="152400" cy="152400"/>
                  <wp:effectExtent l="0" t="0" r="0" b="0"/>
                  <wp:docPr id="4" name="Image 4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2D5"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 </w:t>
            </w:r>
            <w:hyperlink r:id="rId8" w:tooltip="presentation-referentiel-de-branche-3d" w:history="1">
              <w:proofErr w:type="gram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presentation</w:t>
              </w:r>
              <w:proofErr w:type="gram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-referentiel-de-branche-3d</w:t>
              </w:r>
            </w:hyperlink>
          </w:p>
        </w:tc>
      </w:tr>
      <w:tr w:rsidR="003922D5" w:rsidRPr="003922D5" w14:paraId="7454CEB0" w14:textId="77777777" w:rsidTr="003922D5">
        <w:tc>
          <w:tcPr>
            <w:tcW w:w="0" w:type="auto"/>
            <w:tcBorders>
              <w:top w:val="single" w:sz="6" w:space="0" w:color="DDDDDD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2E51" w14:textId="28053E9C" w:rsidR="003922D5" w:rsidRPr="003922D5" w:rsidRDefault="003922D5" w:rsidP="003922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 w:rsidRPr="003922D5">
              <w:rPr>
                <w:rFonts w:ascii="inherit" w:eastAsia="Times New Roman" w:hAnsi="inherit" w:cs="Times New Roman"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12B981E3" wp14:editId="32880A70">
                  <wp:extent cx="152400" cy="152400"/>
                  <wp:effectExtent l="0" t="0" r="0" b="0"/>
                  <wp:docPr id="3" name="Image 3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2D5"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 </w:t>
            </w:r>
            <w:hyperlink r:id="rId9" w:tooltip="vademecum-penibilite-ami-octobre-2016-(3)" w:history="1">
              <w:proofErr w:type="gram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vademecum</w:t>
              </w:r>
              <w:proofErr w:type="gram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-penibilite-ami-octobre-2016-(3)</w:t>
              </w:r>
            </w:hyperlink>
          </w:p>
        </w:tc>
      </w:tr>
      <w:tr w:rsidR="003922D5" w:rsidRPr="003922D5" w14:paraId="7115E53F" w14:textId="77777777" w:rsidTr="003922D5">
        <w:tc>
          <w:tcPr>
            <w:tcW w:w="0" w:type="auto"/>
            <w:tcBorders>
              <w:top w:val="single" w:sz="6" w:space="0" w:color="DDDDDD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A1A0A" w14:textId="01E6B599" w:rsidR="003922D5" w:rsidRPr="003922D5" w:rsidRDefault="003922D5" w:rsidP="003922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 w:rsidRPr="003922D5">
              <w:rPr>
                <w:rFonts w:ascii="inherit" w:eastAsia="Times New Roman" w:hAnsi="inherit" w:cs="Times New Roman"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71B8A785" wp14:editId="2ECCCD24">
                  <wp:extent cx="152400" cy="152400"/>
                  <wp:effectExtent l="0" t="0" r="0" b="0"/>
                  <wp:docPr id="2" name="Image 2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2D5"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 </w:t>
            </w:r>
            <w:hyperlink r:id="rId10" w:tooltip="referentiel-metiers-detail-geh-octobre-2016-(3) (6)" w:history="1">
              <w:proofErr w:type="gram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referentiel</w:t>
              </w:r>
              <w:proofErr w:type="gram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-metiers-detail-geh-octobre-2016-(3) (6)</w:t>
              </w:r>
            </w:hyperlink>
          </w:p>
        </w:tc>
      </w:tr>
      <w:tr w:rsidR="003922D5" w:rsidRPr="003922D5" w14:paraId="1211CE37" w14:textId="77777777" w:rsidTr="003922D5">
        <w:tc>
          <w:tcPr>
            <w:tcW w:w="0" w:type="auto"/>
            <w:tcBorders>
              <w:top w:val="single" w:sz="6" w:space="0" w:color="DDDDDD"/>
              <w:left w:val="single" w:sz="12" w:space="0" w:color="E4E7E8"/>
              <w:bottom w:val="single" w:sz="12" w:space="0" w:color="E4E7E8"/>
              <w:right w:val="single" w:sz="12" w:space="0" w:color="E4E7E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88637" w14:textId="7389031D" w:rsidR="003922D5" w:rsidRPr="003922D5" w:rsidRDefault="003922D5" w:rsidP="003922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 w:rsidRPr="003922D5">
              <w:rPr>
                <w:rFonts w:ascii="inherit" w:eastAsia="Times New Roman" w:hAnsi="inherit" w:cs="Times New Roman"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53FF9326" wp14:editId="7F622742">
                  <wp:extent cx="152400" cy="152400"/>
                  <wp:effectExtent l="0" t="0" r="0" b="0"/>
                  <wp:docPr id="1" name="Image 1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2D5"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 </w:t>
            </w:r>
            <w:hyperlink r:id="rId11" w:tooltip="referentiel-metiers-3d" w:history="1">
              <w:proofErr w:type="gramStart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referentiel</w:t>
              </w:r>
              <w:proofErr w:type="gramEnd"/>
              <w:r w:rsidRPr="003922D5">
                <w:rPr>
                  <w:rFonts w:ascii="inherit" w:eastAsia="Times New Roman" w:hAnsi="inherit" w:cs="Times New Roman"/>
                  <w:color w:val="17C8F4"/>
                  <w:sz w:val="21"/>
                  <w:szCs w:val="21"/>
                  <w:u w:val="single"/>
                  <w:bdr w:val="none" w:sz="0" w:space="0" w:color="auto" w:frame="1"/>
                  <w:lang w:eastAsia="fr-FR"/>
                </w:rPr>
                <w:t>-metiers-3d</w:t>
              </w:r>
            </w:hyperlink>
          </w:p>
        </w:tc>
      </w:tr>
    </w:tbl>
    <w:p w14:paraId="722AD434" w14:textId="77777777" w:rsidR="00902D2F" w:rsidRDefault="00902D2F"/>
    <w:sectPr w:rsidR="0090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sa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F17"/>
    <w:multiLevelType w:val="multilevel"/>
    <w:tmpl w:val="563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C0CB4"/>
    <w:multiLevelType w:val="multilevel"/>
    <w:tmpl w:val="2E7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279891">
    <w:abstractNumId w:val="0"/>
  </w:num>
  <w:num w:numId="2" w16cid:durableId="145648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D5"/>
    <w:rsid w:val="003922D5"/>
    <w:rsid w:val="0090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6684"/>
  <w15:chartTrackingRefBased/>
  <w15:docId w15:val="{62ED0586-1D3B-4C3A-B229-9C92995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92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922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efault">
    <w:name w:val="default"/>
    <w:basedOn w:val="Normal"/>
    <w:rsid w:val="0039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9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92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a-vanid.org/documents/Ei3UnTGywAyZEqtYoPqS8TGwB9Re8TQsSOdBPjrs6pQ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nsa-vanid.org/documents/GSPrPPj3uVmGFivYY--h0aOzyE6O8ghHc3fgRK2v47c,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sa-vanid.org/documents/ubKj7JaXoZ_myc9BbSmkWzdhETV-7Um4mzomh-w_VUI," TargetMode="External"/><Relationship Id="rId11" Type="http://schemas.openxmlformats.org/officeDocument/2006/relationships/hyperlink" Target="https://www.fnsa-vanid.org/documents/_NaNHGQNLxgu5-sxtu54ae3lIXhSnMFluNuukQ5HUbI,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fnsa-vanid.org/documents/gX7Jq8NszhY0ef2ty0BNAEg1joDyUfgbip6Zq64fk0E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nsa-vanid.org/documents/Wb35PwqcvhlvBqLq-lxecpU_wwyh6jaIMgKJfu4r098,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cboulanger</dc:creator>
  <cp:keywords/>
  <dc:description/>
  <cp:lastModifiedBy>cboulanger</cp:lastModifiedBy>
  <cp:revision>1</cp:revision>
  <dcterms:created xsi:type="dcterms:W3CDTF">2022-10-25T10:36:00Z</dcterms:created>
  <dcterms:modified xsi:type="dcterms:W3CDTF">2022-10-25T10:36:00Z</dcterms:modified>
</cp:coreProperties>
</file>