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BE8B8" w14:textId="77777777" w:rsidR="002A5D1B" w:rsidRDefault="002A5D1B" w:rsidP="002A5D1B">
      <w:pPr>
        <w:pStyle w:val="NormalWeb"/>
        <w:shd w:val="clear" w:color="auto" w:fill="FFFFFF"/>
        <w:spacing w:before="0" w:beforeAutospacing="0" w:after="360" w:afterAutospacing="0"/>
        <w:rPr>
          <w:rFonts w:ascii="Open Sans" w:hAnsi="Open Sans" w:cs="Open Sans"/>
          <w:color w:val="8A8A8A"/>
          <w:sz w:val="21"/>
          <w:szCs w:val="21"/>
        </w:rPr>
      </w:pPr>
      <w:r>
        <w:rPr>
          <w:rFonts w:ascii="Open Sans" w:hAnsi="Open Sans" w:cs="Open Sans"/>
          <w:color w:val="8A8A8A"/>
          <w:sz w:val="21"/>
          <w:szCs w:val="21"/>
        </w:rPr>
        <w:t>Le guide d’entretien des séparateurs hydrocarbures </w:t>
      </w:r>
      <w:r>
        <w:rPr>
          <w:rFonts w:ascii="inherit" w:hAnsi="inherit" w:cs="Open Sans"/>
          <w:color w:val="333333"/>
          <w:sz w:val="21"/>
          <w:szCs w:val="21"/>
          <w:bdr w:val="none" w:sz="0" w:space="0" w:color="auto" w:frame="1"/>
        </w:rPr>
        <w:t>a été élaboré par la Commission Technique et Sécurité de la Fédération Nationale des Syndicats de l’Assainissement et de la maintenance industrielle (FNSA). Il est consultable </w:t>
      </w:r>
      <w:hyperlink r:id="rId4" w:history="1">
        <w:r>
          <w:rPr>
            <w:rStyle w:val="Lienhypertexte"/>
            <w:rFonts w:ascii="inherit" w:hAnsi="inherit" w:cs="Open Sans"/>
            <w:color w:val="17C8F4"/>
            <w:sz w:val="21"/>
            <w:szCs w:val="21"/>
            <w:bdr w:val="none" w:sz="0" w:space="0" w:color="auto" w:frame="1"/>
          </w:rPr>
          <w:t>ici</w:t>
        </w:r>
      </w:hyperlink>
    </w:p>
    <w:p w14:paraId="2E7BAA92" w14:textId="77777777" w:rsidR="002A5D1B" w:rsidRDefault="002A5D1B" w:rsidP="002A5D1B">
      <w:pPr>
        <w:pStyle w:val="NormalWeb"/>
        <w:shd w:val="clear" w:color="auto" w:fill="FFFFFF"/>
        <w:spacing w:before="0" w:beforeAutospacing="0" w:after="360" w:afterAutospacing="0"/>
        <w:rPr>
          <w:rFonts w:ascii="Open Sans" w:hAnsi="Open Sans" w:cs="Open Sans"/>
          <w:color w:val="8A8A8A"/>
          <w:sz w:val="21"/>
          <w:szCs w:val="21"/>
        </w:rPr>
      </w:pPr>
      <w:r>
        <w:rPr>
          <w:rFonts w:ascii="inherit" w:hAnsi="inherit" w:cs="Open Sans"/>
          <w:color w:val="333333"/>
          <w:sz w:val="21"/>
          <w:szCs w:val="21"/>
          <w:bdr w:val="none" w:sz="0" w:space="0" w:color="auto" w:frame="1"/>
        </w:rPr>
        <w:t>Ce document concerne les interventions de maintenance des installations de séparation de liquides légers contenus dans les eaux pluviales et eaux résiduaires industrielles fonctionnant par flottation.</w:t>
      </w:r>
      <w:r>
        <w:rPr>
          <w:rFonts w:ascii="Open Sans" w:hAnsi="Open Sans" w:cs="Open Sans"/>
          <w:color w:val="8A8A8A"/>
          <w:sz w:val="21"/>
          <w:szCs w:val="21"/>
        </w:rPr>
        <w:br/>
      </w:r>
      <w:r>
        <w:rPr>
          <w:rFonts w:ascii="inherit" w:hAnsi="inherit" w:cs="Open Sans"/>
          <w:color w:val="333333"/>
          <w:sz w:val="21"/>
          <w:szCs w:val="21"/>
          <w:bdr w:val="none" w:sz="0" w:space="0" w:color="auto" w:frame="1"/>
        </w:rPr>
        <w:t>Les interventions de maintenance sont des interventions ayant pour objectif :</w:t>
      </w:r>
      <w:r>
        <w:rPr>
          <w:rFonts w:ascii="Open Sans" w:hAnsi="Open Sans" w:cs="Open Sans"/>
          <w:color w:val="8A8A8A"/>
          <w:sz w:val="21"/>
          <w:szCs w:val="21"/>
        </w:rPr>
        <w:br/>
      </w:r>
      <w:r>
        <w:rPr>
          <w:rFonts w:ascii="inherit" w:hAnsi="inherit" w:cs="Open Sans"/>
          <w:color w:val="333333"/>
          <w:sz w:val="21"/>
          <w:szCs w:val="21"/>
          <w:bdr w:val="none" w:sz="0" w:space="0" w:color="auto" w:frame="1"/>
        </w:rPr>
        <w:t>1 – l’écrémage</w:t>
      </w:r>
      <w:r>
        <w:rPr>
          <w:rFonts w:ascii="Open Sans" w:hAnsi="Open Sans" w:cs="Open Sans"/>
          <w:color w:val="8A8A8A"/>
          <w:sz w:val="21"/>
          <w:szCs w:val="21"/>
        </w:rPr>
        <w:br/>
      </w:r>
      <w:r>
        <w:rPr>
          <w:rFonts w:ascii="inherit" w:hAnsi="inherit" w:cs="Open Sans"/>
          <w:color w:val="333333"/>
          <w:sz w:val="21"/>
          <w:szCs w:val="21"/>
          <w:bdr w:val="none" w:sz="0" w:space="0" w:color="auto" w:frame="1"/>
        </w:rPr>
        <w:t>2 – la vidange</w:t>
      </w:r>
      <w:r>
        <w:rPr>
          <w:rFonts w:ascii="Open Sans" w:hAnsi="Open Sans" w:cs="Open Sans"/>
          <w:color w:val="8A8A8A"/>
          <w:sz w:val="21"/>
          <w:szCs w:val="21"/>
        </w:rPr>
        <w:br/>
      </w:r>
      <w:r>
        <w:rPr>
          <w:rFonts w:ascii="inherit" w:hAnsi="inherit" w:cs="Open Sans"/>
          <w:color w:val="333333"/>
          <w:sz w:val="21"/>
          <w:szCs w:val="21"/>
          <w:bdr w:val="none" w:sz="0" w:space="0" w:color="auto" w:frame="1"/>
        </w:rPr>
        <w:t>3 – le curage amont/aval</w:t>
      </w:r>
      <w:r>
        <w:rPr>
          <w:rFonts w:ascii="Open Sans" w:hAnsi="Open Sans" w:cs="Open Sans"/>
          <w:color w:val="8A8A8A"/>
          <w:sz w:val="21"/>
          <w:szCs w:val="21"/>
        </w:rPr>
        <w:br/>
      </w:r>
      <w:r>
        <w:rPr>
          <w:rFonts w:ascii="inherit" w:hAnsi="inherit" w:cs="Open Sans"/>
          <w:color w:val="333333"/>
          <w:sz w:val="21"/>
          <w:szCs w:val="21"/>
          <w:bdr w:val="none" w:sz="0" w:space="0" w:color="auto" w:frame="1"/>
        </w:rPr>
        <w:t>4 – les contrôles et entretien/maintenance</w:t>
      </w:r>
      <w:r>
        <w:rPr>
          <w:rFonts w:ascii="Open Sans" w:hAnsi="Open Sans" w:cs="Open Sans"/>
          <w:color w:val="8A8A8A"/>
          <w:sz w:val="21"/>
          <w:szCs w:val="21"/>
        </w:rPr>
        <w:br/>
      </w:r>
      <w:r>
        <w:rPr>
          <w:rFonts w:ascii="inherit" w:hAnsi="inherit" w:cs="Open Sans"/>
          <w:color w:val="333333"/>
          <w:sz w:val="21"/>
          <w:szCs w:val="21"/>
          <w:bdr w:val="none" w:sz="0" w:space="0" w:color="auto" w:frame="1"/>
        </w:rPr>
        <w:t>Elles incluent également les opérations annexes telles que : ouverture/fermeture de tampons ainsi que les chargements, transports et élimination des déchets.</w:t>
      </w:r>
      <w:r>
        <w:rPr>
          <w:rFonts w:ascii="Open Sans" w:hAnsi="Open Sans" w:cs="Open Sans"/>
          <w:color w:val="8A8A8A"/>
          <w:sz w:val="21"/>
          <w:szCs w:val="21"/>
        </w:rPr>
        <w:br/>
      </w:r>
      <w:r>
        <w:rPr>
          <w:rFonts w:ascii="inherit" w:hAnsi="inherit" w:cs="Open Sans"/>
          <w:color w:val="333333"/>
          <w:sz w:val="21"/>
          <w:szCs w:val="21"/>
          <w:bdr w:val="none" w:sz="0" w:space="0" w:color="auto" w:frame="1"/>
        </w:rPr>
        <w:t>Ces opérations sont généralement réalisées à l’aide d’un camion hydrocureur éventuellement associé à un stockage intermédiaire.</w:t>
      </w:r>
    </w:p>
    <w:p w14:paraId="166F3A92" w14:textId="77777777" w:rsidR="00F063EB" w:rsidRDefault="00F063EB"/>
    <w:sectPr w:rsidR="00F06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D1B"/>
    <w:rsid w:val="002A5D1B"/>
    <w:rsid w:val="00F0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2A54D"/>
  <w15:chartTrackingRefBased/>
  <w15:docId w15:val="{5D449192-E2AF-46A5-9225-EB34280D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5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2A5D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7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nsa-vanid.org/wp-content/uploads/2019/02/GT-SEP-HYDROCARBURES-vers-12-07-07-2016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853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cboulanger</dc:creator>
  <cp:keywords/>
  <dc:description/>
  <cp:lastModifiedBy>cboulanger</cp:lastModifiedBy>
  <cp:revision>1</cp:revision>
  <dcterms:created xsi:type="dcterms:W3CDTF">2022-10-26T14:38:00Z</dcterms:created>
  <dcterms:modified xsi:type="dcterms:W3CDTF">2022-10-26T14:39:00Z</dcterms:modified>
</cp:coreProperties>
</file>