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A813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inherit" w:eastAsia="Times New Roman" w:hAnsi="inherit" w:cs="Open Sans"/>
          <w:b/>
          <w:bCs/>
          <w:color w:val="000000"/>
          <w:sz w:val="21"/>
          <w:szCs w:val="21"/>
          <w:bdr w:val="none" w:sz="0" w:space="0" w:color="auto" w:frame="1"/>
          <w:lang w:eastAsia="fr-FR"/>
        </w:rPr>
        <w:t>Vous trouverez ci-dessous les taux de fréquence et de gravité au niveau national pour le code activité 3700Z (code risque 900AA).</w:t>
      </w:r>
    </w:p>
    <w:p w14:paraId="1192A41E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 </w:t>
      </w:r>
    </w:p>
    <w:p w14:paraId="41AEC3C0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 </w:t>
      </w:r>
    </w:p>
    <w:p w14:paraId="68988712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 </w:t>
      </w:r>
    </w:p>
    <w:tbl>
      <w:tblPr>
        <w:tblW w:w="5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115"/>
        <w:gridCol w:w="1890"/>
      </w:tblGrid>
      <w:tr w:rsidR="005C14BD" w:rsidRPr="005C14BD" w14:paraId="551CF627" w14:textId="77777777" w:rsidTr="005C14BD">
        <w:tc>
          <w:tcPr>
            <w:tcW w:w="1275" w:type="dxa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2B413" w14:textId="77777777" w:rsidR="005C14BD" w:rsidRPr="005C14BD" w:rsidRDefault="005C14BD" w:rsidP="005C14BD">
            <w:pPr>
              <w:spacing w:after="0" w:line="240" w:lineRule="auto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ANNEE</w:t>
            </w:r>
          </w:p>
        </w:tc>
        <w:tc>
          <w:tcPr>
            <w:tcW w:w="2115" w:type="dxa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32461" w14:textId="77777777" w:rsidR="005C14BD" w:rsidRPr="005C14BD" w:rsidRDefault="005C14BD" w:rsidP="005C14BD">
            <w:pPr>
              <w:spacing w:after="0" w:line="240" w:lineRule="auto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TAUX DE FREQUENCE *</w:t>
            </w:r>
          </w:p>
        </w:tc>
        <w:tc>
          <w:tcPr>
            <w:tcW w:w="1890" w:type="dxa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77129" w14:textId="77777777" w:rsidR="005C14BD" w:rsidRPr="005C14BD" w:rsidRDefault="005C14BD" w:rsidP="005C14BD">
            <w:pPr>
              <w:spacing w:after="0" w:line="240" w:lineRule="auto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TAUX DE GRAVITE *</w:t>
            </w:r>
          </w:p>
        </w:tc>
      </w:tr>
      <w:tr w:rsidR="005C14BD" w:rsidRPr="005C14BD" w14:paraId="4D513CE9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C2237" w14:textId="77777777" w:rsidR="005C14BD" w:rsidRPr="005C14BD" w:rsidRDefault="005C14BD" w:rsidP="005C14BD">
            <w:pPr>
              <w:spacing w:after="0" w:line="240" w:lineRule="auto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96EF8" w14:textId="77777777" w:rsidR="005C14BD" w:rsidRPr="005C14BD" w:rsidRDefault="005C14BD" w:rsidP="005C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31BDF" w14:textId="77777777" w:rsidR="005C14BD" w:rsidRPr="005C14BD" w:rsidRDefault="005C14BD" w:rsidP="005C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14BD" w:rsidRPr="005C14BD" w14:paraId="6A5B9016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A9D12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1998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8A0FF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54,01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507DD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2,28</w:t>
            </w:r>
          </w:p>
        </w:tc>
      </w:tr>
      <w:tr w:rsidR="005C14BD" w:rsidRPr="005C14BD" w14:paraId="357DC6A9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37DEC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1999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2B015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55,31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9FE4E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2,48</w:t>
            </w:r>
          </w:p>
        </w:tc>
      </w:tr>
      <w:tr w:rsidR="005C14BD" w:rsidRPr="005C14BD" w14:paraId="75228692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B1072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2000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2B118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55,19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0AABA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2,43</w:t>
            </w:r>
          </w:p>
        </w:tc>
      </w:tr>
      <w:tr w:rsidR="005C14BD" w:rsidRPr="005C14BD" w14:paraId="64A6124A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1898C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6991A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54,66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C3ABC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2,45</w:t>
            </w:r>
          </w:p>
        </w:tc>
      </w:tr>
      <w:tr w:rsidR="005C14BD" w:rsidRPr="005C14BD" w14:paraId="7882797D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89279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2002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813E3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53,26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F9C79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2,50</w:t>
            </w:r>
          </w:p>
        </w:tc>
      </w:tr>
      <w:tr w:rsidR="005C14BD" w:rsidRPr="005C14BD" w14:paraId="13BA7635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B9EB4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2003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4479D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53,52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C454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2,82</w:t>
            </w:r>
          </w:p>
        </w:tc>
      </w:tr>
      <w:tr w:rsidR="005C14BD" w:rsidRPr="005C14BD" w14:paraId="2F768C89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598AE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2004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F4BB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50,42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872BC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2,81</w:t>
            </w:r>
          </w:p>
        </w:tc>
      </w:tr>
      <w:tr w:rsidR="005C14BD" w:rsidRPr="005C14BD" w14:paraId="3BC12945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A2F85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2005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DF3A9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46,13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95511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2,44</w:t>
            </w:r>
          </w:p>
        </w:tc>
      </w:tr>
      <w:tr w:rsidR="005C14BD" w:rsidRPr="005C14BD" w14:paraId="27C3E78D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9097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D0C6B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46,44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25E2F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2,63</w:t>
            </w:r>
          </w:p>
        </w:tc>
      </w:tr>
      <w:tr w:rsidR="005C14BD" w:rsidRPr="005C14BD" w14:paraId="01784793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6C1B9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2A435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37,00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2627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2,20</w:t>
            </w:r>
          </w:p>
        </w:tc>
      </w:tr>
      <w:tr w:rsidR="005C14BD" w:rsidRPr="005C14BD" w14:paraId="115AECF9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E8BCB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5F033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36,89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C8083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2,25</w:t>
            </w:r>
          </w:p>
        </w:tc>
      </w:tr>
      <w:tr w:rsidR="005C14BD" w:rsidRPr="005C14BD" w14:paraId="5C427749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1B59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05758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35,76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39D9E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2,27</w:t>
            </w:r>
          </w:p>
        </w:tc>
      </w:tr>
      <w:tr w:rsidR="005C14BD" w:rsidRPr="005C14BD" w14:paraId="799C759F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710E5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0182D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33,40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C6146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2,16</w:t>
            </w:r>
          </w:p>
        </w:tc>
      </w:tr>
      <w:tr w:rsidR="005C14BD" w:rsidRPr="005C14BD" w14:paraId="633F8901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941A3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7BAD8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34,01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7C5E4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</w:t>
            </w:r>
          </w:p>
        </w:tc>
      </w:tr>
      <w:tr w:rsidR="005C14BD" w:rsidRPr="005C14BD" w14:paraId="6F271EF1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7C8A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9679C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32,1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8CDAD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2,22</w:t>
            </w:r>
          </w:p>
        </w:tc>
      </w:tr>
      <w:tr w:rsidR="005C14BD" w:rsidRPr="005C14BD" w14:paraId="15B5E307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AED20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7BBEB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0F14D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2,2</w:t>
            </w:r>
          </w:p>
        </w:tc>
      </w:tr>
      <w:tr w:rsidR="005C14BD" w:rsidRPr="005C14BD" w14:paraId="4C29AC7C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3450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C144E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3CA6E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1,9</w:t>
            </w:r>
          </w:p>
        </w:tc>
      </w:tr>
      <w:tr w:rsidR="005C14BD" w:rsidRPr="005C14BD" w14:paraId="469D8F16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AF8AB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2015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2C058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30,1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9AC24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</w:t>
            </w:r>
          </w:p>
        </w:tc>
      </w:tr>
      <w:tr w:rsidR="005C14BD" w:rsidRPr="005C14BD" w14:paraId="72A24EB0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706B3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2016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18D459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73391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</w:t>
            </w:r>
          </w:p>
        </w:tc>
      </w:tr>
      <w:tr w:rsidR="005C14BD" w:rsidRPr="005C14BD" w14:paraId="263C84C9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1B072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2017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ADEA7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25,2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C9352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1,8</w:t>
            </w:r>
          </w:p>
        </w:tc>
      </w:tr>
      <w:tr w:rsidR="005C14BD" w:rsidRPr="005C14BD" w14:paraId="6B29843A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EDE3F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2018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0FED1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25,7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C4901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1,8</w:t>
            </w:r>
          </w:p>
        </w:tc>
      </w:tr>
      <w:tr w:rsidR="005C14BD" w:rsidRPr="005C14BD" w14:paraId="0A6D7440" w14:textId="77777777" w:rsidTr="005C14BD"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28F3F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E2632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23,5</w:t>
            </w:r>
          </w:p>
        </w:tc>
        <w:tc>
          <w:tcPr>
            <w:tcW w:w="0" w:type="auto"/>
            <w:tcBorders>
              <w:top w:val="single" w:sz="12" w:space="0" w:color="E4E7E8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C42D9" w14:textId="77777777" w:rsidR="005C14BD" w:rsidRPr="005C14BD" w:rsidRDefault="005C14BD" w:rsidP="005C14BD">
            <w:pPr>
              <w:spacing w:after="0" w:line="240" w:lineRule="auto"/>
              <w:jc w:val="center"/>
              <w:rPr>
                <w:rFonts w:ascii="inherit" w:eastAsia="Times New Roman" w:hAnsi="inherit" w:cs="Open Sans"/>
                <w:color w:val="8A8A8A"/>
                <w:sz w:val="21"/>
                <w:szCs w:val="21"/>
                <w:lang w:eastAsia="fr-FR"/>
              </w:rPr>
            </w:pPr>
            <w:r w:rsidRPr="005C14BD">
              <w:rPr>
                <w:rFonts w:ascii="inherit" w:eastAsia="Times New Roman" w:hAnsi="inherit" w:cs="Open Sans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fr-FR"/>
              </w:rPr>
              <w:t>2</w:t>
            </w:r>
          </w:p>
        </w:tc>
      </w:tr>
    </w:tbl>
    <w:p w14:paraId="241160A4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inherit" w:eastAsia="Times New Roman" w:hAnsi="inherit" w:cs="Open Sans"/>
          <w:color w:val="000000"/>
          <w:sz w:val="21"/>
          <w:szCs w:val="21"/>
          <w:bdr w:val="none" w:sz="0" w:space="0" w:color="auto" w:frame="1"/>
          <w:lang w:eastAsia="fr-FR"/>
        </w:rPr>
        <w:br/>
        <w:t>* Taux de fréquence :</w:t>
      </w:r>
      <w:r w:rsidRPr="005C14BD">
        <w:rPr>
          <w:rFonts w:ascii="inherit" w:eastAsia="Times New Roman" w:hAnsi="inherit" w:cs="Open Sans"/>
          <w:color w:val="000000"/>
          <w:sz w:val="21"/>
          <w:szCs w:val="21"/>
          <w:u w:val="single"/>
          <w:bdr w:val="none" w:sz="0" w:space="0" w:color="auto" w:frame="1"/>
          <w:lang w:eastAsia="fr-FR"/>
        </w:rPr>
        <w:br/>
        <w:t>nombre d’accidents avec arrêt x 1.000.000</w:t>
      </w:r>
      <w:r w:rsidRPr="005C14BD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</w:r>
      <w:r w:rsidRPr="005C14BD">
        <w:rPr>
          <w:rFonts w:ascii="inherit" w:eastAsia="Times New Roman" w:hAnsi="inherit" w:cs="Open Sans"/>
          <w:color w:val="000000"/>
          <w:sz w:val="21"/>
          <w:szCs w:val="21"/>
          <w:bdr w:val="none" w:sz="0" w:space="0" w:color="auto" w:frame="1"/>
          <w:lang w:eastAsia="fr-FR"/>
        </w:rPr>
        <w:t>nombre d’heures travaillées</w:t>
      </w:r>
    </w:p>
    <w:p w14:paraId="49B53F8E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inherit" w:eastAsia="Times New Roman" w:hAnsi="inherit" w:cs="Open Sans"/>
          <w:color w:val="000000"/>
          <w:sz w:val="21"/>
          <w:szCs w:val="21"/>
          <w:bdr w:val="none" w:sz="0" w:space="0" w:color="auto" w:frame="1"/>
          <w:lang w:eastAsia="fr-FR"/>
        </w:rPr>
        <w:lastRenderedPageBreak/>
        <w:t>* Taux de gravité :</w:t>
      </w:r>
      <w:r w:rsidRPr="005C14BD">
        <w:rPr>
          <w:rFonts w:ascii="inherit" w:eastAsia="Times New Roman" w:hAnsi="inherit" w:cs="Open Sans"/>
          <w:color w:val="000000"/>
          <w:sz w:val="21"/>
          <w:szCs w:val="21"/>
          <w:u w:val="single"/>
          <w:bdr w:val="none" w:sz="0" w:space="0" w:color="auto" w:frame="1"/>
          <w:lang w:eastAsia="fr-FR"/>
        </w:rPr>
        <w:br/>
        <w:t>nombre de journées perdues x 1.000</w:t>
      </w:r>
      <w:r w:rsidRPr="005C14BD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</w:r>
      <w:r w:rsidRPr="005C14BD">
        <w:rPr>
          <w:rFonts w:ascii="inherit" w:eastAsia="Times New Roman" w:hAnsi="inherit" w:cs="Open Sans"/>
          <w:color w:val="000000"/>
          <w:sz w:val="21"/>
          <w:szCs w:val="21"/>
          <w:bdr w:val="none" w:sz="0" w:space="0" w:color="auto" w:frame="1"/>
          <w:lang w:eastAsia="fr-FR"/>
        </w:rPr>
        <w:t>nombre d’heures travaillées</w:t>
      </w:r>
    </w:p>
    <w:p w14:paraId="49540B78" w14:textId="77777777" w:rsidR="005C14BD" w:rsidRPr="005C14BD" w:rsidRDefault="005C14BD" w:rsidP="005C14B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5C14BD">
        <w:rPr>
          <w:rFonts w:ascii="inherit" w:eastAsia="Times New Roman" w:hAnsi="inherit" w:cs="Open Sans"/>
          <w:color w:val="000000"/>
          <w:sz w:val="21"/>
          <w:szCs w:val="21"/>
          <w:bdr w:val="none" w:sz="0" w:space="0" w:color="auto" w:frame="1"/>
          <w:lang w:eastAsia="fr-FR"/>
        </w:rPr>
        <w:t>En cliquant </w:t>
      </w:r>
      <w:hyperlink r:id="rId4" w:history="1">
        <w:r w:rsidRPr="005C14BD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ici</w:t>
        </w:r>
      </w:hyperlink>
      <w:hyperlink r:id="rId5" w:history="1">
        <w:r w:rsidRPr="005C14BD">
          <w:rPr>
            <w:rFonts w:ascii="inherit" w:eastAsia="Times New Roman" w:hAnsi="inherit" w:cs="Open Sans"/>
            <w:color w:val="000000"/>
            <w:sz w:val="21"/>
            <w:szCs w:val="21"/>
            <w:u w:val="single"/>
            <w:bdr w:val="none" w:sz="0" w:space="0" w:color="auto" w:frame="1"/>
            <w:lang w:eastAsia="fr-FR"/>
          </w:rPr>
          <w:t>,</w:t>
        </w:r>
      </w:hyperlink>
      <w:r w:rsidRPr="005C14BD">
        <w:rPr>
          <w:rFonts w:ascii="inherit" w:eastAsia="Times New Roman" w:hAnsi="inherit" w:cs="Open Sans"/>
          <w:color w:val="000000"/>
          <w:sz w:val="21"/>
          <w:szCs w:val="21"/>
          <w:bdr w:val="none" w:sz="0" w:space="0" w:color="auto" w:frame="1"/>
          <w:lang w:eastAsia="fr-FR"/>
        </w:rPr>
        <w:t>  vous pouvez consulter le document de synthèse des accidents du travail pour l’année 2015 – Tableau de répartition pour le code APE 3700Z (anciennement 900AA)</w:t>
      </w:r>
    </w:p>
    <w:p w14:paraId="27266E2C" w14:textId="77777777" w:rsidR="00CB08EF" w:rsidRDefault="00CB08EF"/>
    <w:sectPr w:rsidR="00CB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BD"/>
    <w:rsid w:val="005C14BD"/>
    <w:rsid w:val="00C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3047"/>
  <w15:chartTrackingRefBased/>
  <w15:docId w15:val="{7B36555B-46E9-459B-861E-1DAC75C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14B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C1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nsa-vanid.org/docs/fnsa/publications/nafape-2015-e-000-3700z-sy.pdf" TargetMode="External"/><Relationship Id="rId4" Type="http://schemas.openxmlformats.org/officeDocument/2006/relationships/hyperlink" Target="https://www.fnsa-vanid.org/wp-content/uploads/2021/04/NAFAPE_2019_E_000_3700Z_SY-00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cboulanger</dc:creator>
  <cp:keywords/>
  <dc:description/>
  <cp:lastModifiedBy>cboulanger</cp:lastModifiedBy>
  <cp:revision>1</cp:revision>
  <dcterms:created xsi:type="dcterms:W3CDTF">2022-10-26T09:28:00Z</dcterms:created>
  <dcterms:modified xsi:type="dcterms:W3CDTF">2022-10-26T09:28:00Z</dcterms:modified>
</cp:coreProperties>
</file>